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02026_060738.xml.htm"/>
      <w:bookmarkStart w:id="1" w:name="ksform407202026_0607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Conner Penelope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ESCO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MARYVILLE CENTRE DR.,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0.194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318.52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772.3901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issued in lieu of cash dividends on the RSUs held by the reporting person on the payment date. Each RSU is the economic equivalent of one share of Common Stock. A portion of the RSU representing dividends on unvested shares becomes payable in Common Stock and/or cash when the underlying shares vest, or concurrently with the distribution of the underlying shares if the reporting person has so designated. Any remaining RSUs become payable in common stock upon, or at the election of the reporting person in installments beginning upon, the termination of the reporting person's service as a director or such earlier time as the reporting person may have designated.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on file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Fisher,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314" TargetMode="External"/><Relationship Id="rId5" Type="http://schemas.openxmlformats.org/officeDocument/2006/relationships/hyperlink" Target="http://www.sec.gov/cgi-bin/browse-edgar?action=getcompany&amp;CIK=0000866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3738</Characters>
  <CharactersWithSpaces>4360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